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F4" w:rsidRDefault="008568F4" w:rsidP="008568F4">
      <w:pPr>
        <w:spacing w:line="360" w:lineRule="auto"/>
        <w:jc w:val="left"/>
        <w:rPr>
          <w:rFonts w:ascii="华文仿宋" w:eastAsia="华文仿宋" w:hAnsi="华文仿宋" w:cs="华文仿宋"/>
          <w:b/>
          <w:sz w:val="32"/>
        </w:rPr>
      </w:pPr>
      <w:r>
        <w:rPr>
          <w:rFonts w:ascii="华文仿宋" w:eastAsia="华文仿宋" w:hAnsi="华文仿宋" w:cs="华文仿宋" w:hint="eastAsia"/>
          <w:b/>
          <w:sz w:val="32"/>
        </w:rPr>
        <w:t>附件1：</w:t>
      </w:r>
    </w:p>
    <w:p w:rsidR="008568F4" w:rsidRDefault="008568F4" w:rsidP="008568F4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Hlk96260208"/>
      <w:bookmarkStart w:id="1" w:name="_Hlk96260069"/>
      <w:bookmarkStart w:id="2" w:name="_Hlk96260714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实验室安全检查项目表</w:t>
      </w:r>
      <w:bookmarkEnd w:id="0"/>
      <w:bookmarkEnd w:id="1"/>
    </w:p>
    <w:bookmarkEnd w:id="2"/>
    <w:p w:rsidR="008568F4" w:rsidRPr="0010579E" w:rsidRDefault="008568F4" w:rsidP="008568F4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10579E">
        <w:rPr>
          <w:rFonts w:asciiTheme="minorEastAsia" w:hAnsiTheme="minorEastAsia" w:hint="eastAsia"/>
          <w:sz w:val="28"/>
          <w:szCs w:val="24"/>
        </w:rPr>
        <w:t>学院/部门：</w:t>
      </w:r>
      <w:r w:rsidR="00D36184" w:rsidRPr="00D36184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="00D36184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D36184" w:rsidRPr="00D36184">
        <w:rPr>
          <w:rFonts w:asciiTheme="minorEastAsia" w:hAnsiTheme="minorEastAsia" w:hint="eastAsia"/>
          <w:sz w:val="28"/>
          <w:szCs w:val="24"/>
        </w:rPr>
        <w:t xml:space="preserve"> </w:t>
      </w:r>
      <w:r w:rsidR="00D36184">
        <w:rPr>
          <w:rFonts w:asciiTheme="minorEastAsia" w:hAnsiTheme="minorEastAsia" w:hint="eastAsia"/>
          <w:sz w:val="28"/>
          <w:szCs w:val="24"/>
        </w:rPr>
        <w:t xml:space="preserve"> </w:t>
      </w:r>
      <w:r w:rsidRPr="0010579E">
        <w:rPr>
          <w:rFonts w:asciiTheme="minorEastAsia" w:hAnsiTheme="minorEastAsia" w:hint="eastAsia"/>
          <w:sz w:val="28"/>
          <w:szCs w:val="24"/>
        </w:rPr>
        <w:t>审核人：</w:t>
      </w:r>
      <w:r w:rsidR="00D36184" w:rsidRPr="00D36184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="00D36184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D36184" w:rsidRPr="00D36184">
        <w:rPr>
          <w:rFonts w:asciiTheme="minorEastAsia" w:hAnsiTheme="minorEastAsia" w:hint="eastAsia"/>
          <w:sz w:val="28"/>
          <w:szCs w:val="24"/>
        </w:rPr>
        <w:t xml:space="preserve"> </w:t>
      </w:r>
      <w:r w:rsidR="00D36184">
        <w:rPr>
          <w:rFonts w:asciiTheme="minorEastAsia" w:hAnsiTheme="minorEastAsia" w:hint="eastAsia"/>
          <w:sz w:val="28"/>
          <w:szCs w:val="24"/>
        </w:rPr>
        <w:t xml:space="preserve"> </w:t>
      </w:r>
      <w:r w:rsidRPr="0010579E">
        <w:rPr>
          <w:rFonts w:asciiTheme="minorEastAsia" w:hAnsiTheme="minorEastAsia" w:hint="eastAsia"/>
          <w:sz w:val="28"/>
          <w:szCs w:val="24"/>
        </w:rPr>
        <w:t>填表人：</w:t>
      </w:r>
      <w:r w:rsidR="00D36184" w:rsidRPr="00D36184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="00D36184">
        <w:rPr>
          <w:rFonts w:asciiTheme="minorEastAsia" w:hAnsiTheme="minorEastAsia" w:hint="eastAsia"/>
          <w:sz w:val="28"/>
          <w:szCs w:val="24"/>
        </w:rPr>
        <w:t xml:space="preserve">  </w:t>
      </w:r>
      <w:r w:rsidRPr="0010579E">
        <w:rPr>
          <w:rFonts w:asciiTheme="minorEastAsia" w:hAnsiTheme="minorEastAsia" w:hint="eastAsia"/>
          <w:sz w:val="28"/>
          <w:szCs w:val="24"/>
        </w:rPr>
        <w:t>填表日期：</w:t>
      </w:r>
      <w:r w:rsidR="00D36184" w:rsidRPr="00D36184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10579E">
        <w:rPr>
          <w:rFonts w:asciiTheme="minorEastAsia" w:hAnsiTheme="minorEastAsia" w:hint="eastAsia"/>
          <w:sz w:val="28"/>
          <w:szCs w:val="24"/>
        </w:rPr>
        <w:t>年</w:t>
      </w:r>
      <w:r w:rsidR="00D36184" w:rsidRPr="00D36184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10579E">
        <w:rPr>
          <w:rFonts w:asciiTheme="minorEastAsia" w:hAnsiTheme="minorEastAsia" w:hint="eastAsia"/>
          <w:sz w:val="28"/>
          <w:szCs w:val="24"/>
        </w:rPr>
        <w:t>月</w:t>
      </w:r>
      <w:r w:rsidR="00D36184" w:rsidRPr="00D36184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10579E">
        <w:rPr>
          <w:rFonts w:asciiTheme="minorEastAsia" w:hAnsiTheme="minorEastAsia" w:hint="eastAsia"/>
          <w:sz w:val="28"/>
          <w:szCs w:val="24"/>
        </w:rPr>
        <w:t>日</w:t>
      </w:r>
    </w:p>
    <w:tbl>
      <w:tblPr>
        <w:tblStyle w:val="ab"/>
        <w:tblpPr w:leftFromText="180" w:rightFromText="180" w:vertAnchor="text" w:horzAnchor="margin" w:tblpXSpec="center" w:tblpY="37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953"/>
        <w:gridCol w:w="1134"/>
        <w:gridCol w:w="1134"/>
        <w:gridCol w:w="993"/>
      </w:tblGrid>
      <w:tr w:rsidR="008568F4" w:rsidTr="002E2F39">
        <w:trPr>
          <w:trHeight w:val="323"/>
        </w:trPr>
        <w:tc>
          <w:tcPr>
            <w:tcW w:w="155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大类名称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小类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检查要点</w:t>
            </w:r>
          </w:p>
        </w:tc>
        <w:tc>
          <w:tcPr>
            <w:tcW w:w="3261" w:type="dxa"/>
            <w:gridSpan w:val="3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是否符合要求</w:t>
            </w:r>
          </w:p>
        </w:tc>
      </w:tr>
      <w:tr w:rsidR="008568F4" w:rsidTr="002E2F39">
        <w:trPr>
          <w:trHeight w:val="322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符合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不符合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不涉及</w:t>
            </w:r>
          </w:p>
        </w:tc>
      </w:tr>
      <w:tr w:rsidR="008568F4" w:rsidTr="002E2F39">
        <w:trPr>
          <w:trHeight w:val="1459"/>
        </w:trPr>
        <w:tc>
          <w:tcPr>
            <w:tcW w:w="155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4976"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="005E38D7">
              <w:rPr>
                <w:rFonts w:asciiTheme="minorEastAsia" w:hAnsiTheme="minorEastAsia" w:hint="eastAsia"/>
                <w:sz w:val="24"/>
                <w:szCs w:val="24"/>
              </w:rPr>
              <w:t>实</w:t>
            </w:r>
            <w:r w:rsidRPr="00A74976">
              <w:rPr>
                <w:rFonts w:asciiTheme="minorEastAsia" w:hAnsiTheme="minorEastAsia" w:hint="eastAsia"/>
                <w:sz w:val="24"/>
                <w:szCs w:val="24"/>
              </w:rPr>
              <w:t>验室安全管理责任体系建设情况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604C0F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（一）实验室安全责任人逐级分层落实情况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276C98">
              <w:rPr>
                <w:rFonts w:ascii="宋体" w:hAnsi="宋体" w:cs="宋体" w:hint="eastAsia"/>
                <w:color w:val="000000"/>
                <w:szCs w:val="21"/>
              </w:rPr>
              <w:t>1.领导安全责任落实情况（党政主要负责人是学校安全工作第一责任人；分管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工作的领</w:t>
            </w:r>
            <w:bookmarkStart w:id="3" w:name="_GoBack"/>
            <w:bookmarkEnd w:id="3"/>
            <w:r w:rsidRPr="00276C98">
              <w:rPr>
                <w:rFonts w:ascii="宋体" w:hAnsi="宋体" w:cs="宋体" w:hint="eastAsia"/>
                <w:color w:val="000000"/>
                <w:szCs w:val="21"/>
              </w:rPr>
              <w:t>导协助第一责任人负责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安全工作，是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安全工作的重要领导责任人；其他领导在分管工作范围内对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安全工作负有监督、检查、指导和管理职责）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568F4" w:rsidTr="002E2F39">
        <w:trPr>
          <w:trHeight w:val="741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276C9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276C9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276C98">
              <w:rPr>
                <w:rFonts w:ascii="宋体" w:hAnsi="宋体" w:cs="宋体" w:hint="eastAsia"/>
                <w:color w:val="000000"/>
                <w:szCs w:val="21"/>
              </w:rPr>
              <w:t>2.部门负责人安全责任落实情况（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安全管理机构和专职管理人员负责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的日常安全管理）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568F4" w:rsidTr="002E2F39">
        <w:trPr>
          <w:trHeight w:val="836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276C9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276C9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276C98"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负责人安全责任落实情况（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负责人是本实验室安全工作的直接责任人，负责实验室安全的日常管理）。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568F4" w:rsidTr="002E2F39">
        <w:trPr>
          <w:trHeight w:val="2022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276C9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276C98">
              <w:rPr>
                <w:rFonts w:asciiTheme="minorEastAsia" w:hAnsiTheme="minorEastAsia" w:hint="eastAsia"/>
                <w:sz w:val="24"/>
                <w:szCs w:val="24"/>
              </w:rPr>
              <w:t>）实验室安全管理制度及实验安全操作规范情况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276C98">
              <w:rPr>
                <w:rFonts w:ascii="宋体" w:hAnsi="宋体" w:cs="宋体" w:hint="eastAsia"/>
                <w:color w:val="000000"/>
                <w:szCs w:val="21"/>
              </w:rPr>
              <w:t>1.实验室</w:t>
            </w:r>
            <w:r w:rsidRPr="00F932B4">
              <w:rPr>
                <w:rFonts w:ascii="宋体" w:hAnsi="宋体" w:cs="宋体" w:hint="eastAsia"/>
                <w:color w:val="000000"/>
                <w:szCs w:val="21"/>
              </w:rPr>
              <w:t>安全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管理制度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实验室安全操作规程；实验室安全检查制度；劳动保护/安全防护用品配备制度；实验室应急管理制度；实验室设备安全管理制度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276C98">
              <w:rPr>
                <w:rFonts w:ascii="宋体" w:hAnsi="宋体" w:cs="宋体" w:hint="eastAsia"/>
                <w:color w:val="000000"/>
                <w:szCs w:val="21"/>
              </w:rPr>
              <w:t>实验室特种设备专项管理制度；实验室关键岗位持证上岗制度；实验室危险化学品安全管理制度；实验室废弃物安全管理制度；实验室安全档案及台帐管理制度；事故处理和责任追究制度。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568F4" w:rsidTr="002E2F39">
        <w:trPr>
          <w:trHeight w:val="1128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276C9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276C9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F932B4">
              <w:rPr>
                <w:rFonts w:ascii="宋体" w:hAnsi="宋体" w:cs="宋体" w:hint="eastAsia"/>
                <w:color w:val="000000"/>
                <w:szCs w:val="21"/>
              </w:rPr>
              <w:t>制定危险实验、危险化工工艺指导书，上墙或便于取阅；按照指导书进行实验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F932B4">
              <w:rPr>
                <w:rFonts w:ascii="宋体" w:hAnsi="宋体" w:cs="宋体" w:hint="eastAsia"/>
                <w:color w:val="000000"/>
                <w:szCs w:val="21"/>
              </w:rPr>
              <w:t>建立针对特殊危险实验的应急预案，方便取阅；实验人员熟悉所涉及的危险性及应急处理措施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Pr="009E03C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二</w:t>
            </w:r>
            <w:r w:rsidRPr="00356D4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实验室</w:t>
            </w:r>
            <w:r w:rsidRPr="00356D48">
              <w:rPr>
                <w:rFonts w:asciiTheme="minorEastAsia" w:hAnsiTheme="minorEastAsia" w:hint="eastAsia"/>
                <w:sz w:val="24"/>
                <w:szCs w:val="24"/>
              </w:rPr>
              <w:t>危险源管理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604C0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实验室重点危险源排查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356D48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排查</w:t>
            </w:r>
            <w:r w:rsidRPr="00356D48">
              <w:rPr>
                <w:rFonts w:ascii="宋体" w:hAnsi="宋体" w:cs="宋体" w:hint="eastAsia"/>
                <w:color w:val="000000"/>
                <w:szCs w:val="21"/>
              </w:rPr>
              <w:t>项目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356D48">
              <w:rPr>
                <w:rFonts w:ascii="宋体" w:hAnsi="宋体" w:cs="宋体" w:hint="eastAsia"/>
                <w:color w:val="000000"/>
                <w:szCs w:val="21"/>
              </w:rPr>
              <w:t>（1）化学品；（2）剧毒品；（3）易制毒化学品；（4）易制爆化学品；（5）电气；（6）气瓶；（</w:t>
            </w:r>
            <w:r>
              <w:rPr>
                <w:rFonts w:ascii="宋体" w:hAnsi="宋体" w:cs="宋体"/>
                <w:color w:val="000000"/>
                <w:szCs w:val="21"/>
              </w:rPr>
              <w:t>7</w:t>
            </w:r>
            <w:r w:rsidRPr="00356D48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水电消防等。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716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356D48"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化学试剂</w:t>
            </w:r>
            <w:r w:rsidRPr="0010406C">
              <w:rPr>
                <w:rFonts w:ascii="宋体" w:hAnsi="宋体" w:cs="宋体" w:hint="eastAsia"/>
                <w:color w:val="000000"/>
                <w:szCs w:val="21"/>
              </w:rPr>
              <w:t>有统一的试剂标签（用于配置试剂、合成品、样品等），信息包括名称、浓度、责任人、日期、储存条件等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  <w:r w:rsidRPr="00FA5324">
              <w:rPr>
                <w:rFonts w:ascii="宋体" w:hAnsi="宋体" w:cs="宋体" w:hint="eastAsia"/>
                <w:color w:val="000000"/>
                <w:szCs w:val="21"/>
              </w:rPr>
              <w:t>无使用饮料瓶存放试剂、样品的现象。如确需存放，必须撕去原包装纸，贴上统一的试剂标签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343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危化品</w:t>
            </w:r>
            <w:r w:rsidRPr="0010406C">
              <w:rPr>
                <w:rFonts w:ascii="宋体" w:hAnsi="宋体" w:cs="宋体" w:hint="eastAsia"/>
                <w:color w:val="000000"/>
                <w:szCs w:val="21"/>
              </w:rPr>
              <w:t>分类存放、专人保管，做好领取、使用、处置动态使用台帐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10406C">
              <w:rPr>
                <w:rFonts w:ascii="宋体" w:hAnsi="宋体" w:cs="宋体" w:hint="eastAsia"/>
                <w:color w:val="000000"/>
                <w:szCs w:val="21"/>
              </w:rPr>
              <w:t>建立本实验室危险化学品目录，并有危险化学品安全技术说明书或安全周知卡，方便查阅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343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在剧毒品、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易制毒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易制爆化学品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存放点等重点场所安装门禁和监控设施，运转正常，有专人管理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剧毒品管理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需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配备专门的保险柜并固定，实行双人双锁保管；对于具有高挥发性、低闪点的剧毒品应存放在具有防爆功能的冰箱内，并配备双锁；配备监控与报警装置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执行双人收发、双人运输；应严格记录品种、规格以及购入、发放、退回的日期、单位及经手人、数量以及结存数量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5F1C13">
              <w:rPr>
                <w:rFonts w:ascii="宋体" w:hAnsi="宋体" w:cs="宋体" w:hint="eastAsia"/>
                <w:color w:val="000000"/>
                <w:szCs w:val="21"/>
              </w:rPr>
              <w:t>使用时有两人同时在场，且计量取用后立即放回保险柜，详细记载用途，双人签字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。 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343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476FAF">
              <w:rPr>
                <w:rFonts w:ascii="宋体" w:hAnsi="宋体" w:cs="宋体" w:hint="eastAsia"/>
                <w:color w:val="000000"/>
                <w:szCs w:val="21"/>
              </w:rPr>
              <w:t>存在可能受到化学和生物伤害的实验区域，需配置应急喷淋和洗眼装置，走廊有显著引导标识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。 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343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87DDA">
              <w:rPr>
                <w:rFonts w:ascii="宋体" w:hAnsi="宋体" w:cs="宋体" w:hint="eastAsia"/>
                <w:color w:val="000000"/>
                <w:szCs w:val="21"/>
              </w:rPr>
              <w:t>涉及安全隐患的设备（如大型仪器、高温、高速、高压、强磁、低温等设备）有安全操作规程，并明示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。高速切削机械操作，劳动保护事项：工作服、防护眼镜、工作帽等。  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409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87DDA">
              <w:rPr>
                <w:rFonts w:ascii="宋体" w:hAnsi="宋体" w:cs="宋体" w:hint="eastAsia"/>
                <w:color w:val="000000"/>
                <w:szCs w:val="21"/>
              </w:rPr>
              <w:t>学院层面建立了实验室安全危险源清单，内容包括涉及单位、房间、类别、数量、责任人等信息，并报学校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备案。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87DDA">
              <w:rPr>
                <w:rFonts w:ascii="宋体" w:hAnsi="宋体" w:cs="宋体" w:hint="eastAsia"/>
                <w:color w:val="000000"/>
                <w:szCs w:val="21"/>
              </w:rPr>
              <w:t>剧毒品、易制毒品、易制爆品、爆炸品购买前须经学校审批，报公安部门批准或备案后，向具有经营许可资质的单位购买。校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主管</w:t>
            </w:r>
            <w:r w:rsidRPr="00C87DDA">
              <w:rPr>
                <w:rFonts w:ascii="宋体" w:hAnsi="宋体" w:cs="宋体" w:hint="eastAsia"/>
                <w:color w:val="000000"/>
                <w:szCs w:val="21"/>
              </w:rPr>
              <w:t>部门保留资料、建立档案。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68F4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7B163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实验室</w:t>
            </w:r>
            <w:r w:rsidRPr="007B1638">
              <w:rPr>
                <w:rFonts w:asciiTheme="minorEastAsia" w:hAnsiTheme="minorEastAsia" w:hint="eastAsia"/>
                <w:sz w:val="24"/>
                <w:szCs w:val="24"/>
              </w:rPr>
              <w:t>安全设施与环境</w:t>
            </w:r>
          </w:p>
          <w:p w:rsidR="008568F4" w:rsidRPr="00356D4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（一）实验室卫生环境、消防安全情况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6F4451">
              <w:rPr>
                <w:rFonts w:ascii="宋体" w:hAnsi="宋体" w:cs="宋体" w:hint="eastAsia"/>
                <w:color w:val="000000"/>
                <w:szCs w:val="21"/>
              </w:rPr>
              <w:t>实验室物品摆放有序，卫生状况良好；实验完毕物品归位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  <w:r w:rsidRPr="00C87DDA">
              <w:rPr>
                <w:rFonts w:ascii="宋体" w:hAnsi="宋体" w:cs="宋体" w:hint="eastAsia"/>
                <w:color w:val="000000"/>
                <w:szCs w:val="21"/>
              </w:rPr>
              <w:t>每个房间门口挂有安全信息牌，信息包括安全责任人、涉及危险类别、防护措施和有效的应急联系电话等，并及时更新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  <w:r w:rsidRPr="00476FAF">
              <w:rPr>
                <w:rFonts w:ascii="宋体" w:hAnsi="宋体" w:cs="宋体" w:hint="eastAsia"/>
                <w:color w:val="000000"/>
                <w:szCs w:val="21"/>
              </w:rPr>
              <w:t>实验室消防通道通畅，公共场所、通道不堆放仪器、物品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Pr="006C3222">
              <w:rPr>
                <w:rFonts w:ascii="宋体" w:hAnsi="宋体" w:cs="宋体" w:hint="eastAsia"/>
                <w:color w:val="000000"/>
                <w:szCs w:val="21"/>
              </w:rPr>
              <w:t>灭火器在有效期内（压力指针位置正常等），安全销（拉针）正常，瓶身无破损、腐蚀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703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涉及易燃易爆、有毒有害等危险物品的器材储存、放置位置应当合理；</w:t>
            </w:r>
            <w:r w:rsidRPr="00B912A6">
              <w:rPr>
                <w:rFonts w:ascii="宋体" w:hAnsi="宋体" w:cs="宋体" w:hint="eastAsia"/>
                <w:color w:val="000000"/>
                <w:szCs w:val="21"/>
              </w:rPr>
              <w:t>需符合防爆设计要求，安装防爆开关、防爆灯等，安装必要的气体报警系统、监控系统及断电断水应急系统等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安全用电应符合国家标准（导则）和行业标准；</w:t>
            </w:r>
            <w:r w:rsidRPr="00B912A6">
              <w:rPr>
                <w:rFonts w:ascii="宋体" w:hAnsi="宋体" w:cs="宋体" w:hint="eastAsia"/>
                <w:color w:val="000000"/>
                <w:szCs w:val="21"/>
              </w:rPr>
              <w:t>实验室电容量、插头插座与用电设备功率需匹配，不得私自改装；电源插座须固定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B912A6">
              <w:rPr>
                <w:rFonts w:ascii="宋体" w:hAnsi="宋体" w:cs="宋体" w:hint="eastAsia"/>
                <w:color w:val="000000"/>
                <w:szCs w:val="21"/>
              </w:rPr>
              <w:t>禁止多个接线板串接供电，接线板不宜直接置于地面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Pr="00B912A6">
              <w:rPr>
                <w:rFonts w:ascii="宋体" w:hAnsi="宋体" w:cs="宋体" w:hint="eastAsia"/>
                <w:color w:val="000000"/>
                <w:szCs w:val="21"/>
              </w:rPr>
              <w:t>插座、插头、接线板为国家质量认证的合格产品，无烧焦变形、破损现象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通风系统符合国家法律标准的相关规定；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根据需要在通风橱管路上安装有毒有害气体的吸附或处理装置（如活性炭、光催化分解、水喷淋等），</w:t>
            </w:r>
            <w:r w:rsidRPr="00F932B4">
              <w:rPr>
                <w:rFonts w:ascii="宋体" w:hAnsi="宋体" w:cs="宋体" w:hint="eastAsia"/>
                <w:color w:val="000000"/>
                <w:szCs w:val="21"/>
              </w:rPr>
              <w:t>管道风机需防腐，使用可燃气体场所应采用防爆风机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水路</w:t>
            </w:r>
            <w:r w:rsidRPr="00F932B4">
              <w:rPr>
                <w:rFonts w:ascii="宋体" w:hAnsi="宋体" w:cs="宋体" w:hint="eastAsia"/>
                <w:color w:val="000000"/>
                <w:szCs w:val="21"/>
              </w:rPr>
              <w:t>各类连接管无老化破损（特别是冷却冷凝系统的橡胶管接口处）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651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7.针对不同的危化品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，应按照国家消防要求和火灾种类，配备相应的灭火器，如液体用、固体用、精密仪器、活泼金属等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689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（二）实验室安全标志标识的设置情况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应在相关位置设置安全标志标识（在房间和走廊应有安全逃生图，在地面和墙面应有带荧光或反光指示箭头）</w:t>
            </w:r>
            <w:r w:rsidR="00CA289F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263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2.安全标志标识应符合国家安全标志标识标准</w:t>
            </w:r>
            <w:r w:rsidR="00CA289F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495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3.安全标志标识应与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现场实际情况吻合(有化学品使用或存放的房间，应在门外有明显标识)。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699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（三）实验室危险物品、废弃物品的采购、运输、储存、使用和废弃物处置情</w:t>
            </w:r>
            <w:r w:rsidR="00CA289F"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废弃物品</w:t>
            </w:r>
            <w:r w:rsidRPr="00B912A6">
              <w:rPr>
                <w:rFonts w:ascii="宋体" w:hAnsi="宋体" w:cs="宋体" w:hint="eastAsia"/>
                <w:color w:val="000000"/>
                <w:szCs w:val="21"/>
              </w:rPr>
              <w:t>有统一的化学实验废弃物标签，包含废物类别、危险特性、主要成分、产生部门、送储人、日期等信息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486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废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品仓库管理应符合国家有关规定和标准</w:t>
            </w:r>
            <w:r w:rsidR="00CA289F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432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7B1638">
              <w:rPr>
                <w:rFonts w:ascii="宋体" w:hAnsi="宋体" w:cs="宋体" w:hint="eastAsia"/>
                <w:color w:val="000000"/>
                <w:szCs w:val="21"/>
              </w:rPr>
              <w:t>3.应通过具有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危废品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经营许可证的单位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对</w:t>
            </w:r>
            <w:r w:rsidRPr="007B1638">
              <w:rPr>
                <w:rFonts w:ascii="宋体" w:hAnsi="宋体" w:cs="宋体" w:hint="eastAsia"/>
                <w:color w:val="000000"/>
                <w:szCs w:val="21"/>
              </w:rPr>
              <w:t>危险物品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统一处理，</w:t>
            </w:r>
            <w:r w:rsidRPr="0000112E">
              <w:rPr>
                <w:rFonts w:ascii="宋体" w:hAnsi="宋体" w:cs="宋体" w:hint="eastAsia"/>
                <w:color w:val="000000"/>
                <w:szCs w:val="21"/>
              </w:rPr>
              <w:t>并按相应的运输包装要求包装后转移和运输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768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604C0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（四）实验室个人安全防护用品的配备情况</w:t>
            </w: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ED7F1C"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ED7F1C">
              <w:rPr>
                <w:rFonts w:ascii="宋体" w:hAnsi="宋体" w:cs="宋体" w:hint="eastAsia"/>
                <w:color w:val="000000"/>
                <w:szCs w:val="21"/>
              </w:rPr>
              <w:t>配发个人安全防护用品的目录；</w:t>
            </w:r>
            <w:r w:rsidRPr="00BE0976">
              <w:rPr>
                <w:rFonts w:ascii="宋体" w:hAnsi="宋体" w:cs="宋体" w:hint="eastAsia"/>
                <w:color w:val="000000"/>
                <w:szCs w:val="21"/>
              </w:rPr>
              <w:t>危险性实验室配备了急救药箱，药箱不上锁、药品在保质期内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1320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ED7F1C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ED7F1C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ED7F1C"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ED7F1C">
              <w:rPr>
                <w:rFonts w:ascii="宋体" w:hAnsi="宋体" w:cs="宋体" w:hint="eastAsia"/>
                <w:color w:val="000000"/>
                <w:szCs w:val="21"/>
              </w:rPr>
              <w:t>个人安全防护用品的选型适用于所在实验，符合国家法规标准要求，数量和存放位置合理(针对不同的危化品，应配备相应的防护用品，如防强酸手套、活性炭口罩、防护面罩、自呼吸防护面罩等)</w:t>
            </w:r>
            <w:r w:rsidR="00CA289F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568F4" w:rsidRPr="007B1638" w:rsidTr="002E2F39">
        <w:trPr>
          <w:trHeight w:val="514"/>
        </w:trPr>
        <w:tc>
          <w:tcPr>
            <w:tcW w:w="155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7B1638" w:rsidRDefault="008568F4" w:rsidP="002E2F3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ED7F1C" w:rsidRDefault="008568F4" w:rsidP="002E2F39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9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Pr="00ED7F1C" w:rsidRDefault="008568F4" w:rsidP="002E2F3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 w:rsidRPr="00ED7F1C"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实验室</w:t>
            </w:r>
            <w:r w:rsidRPr="00ED7F1C">
              <w:rPr>
                <w:rFonts w:ascii="宋体" w:hAnsi="宋体" w:cs="宋体" w:hint="eastAsia"/>
                <w:color w:val="000000"/>
                <w:szCs w:val="21"/>
              </w:rPr>
              <w:t>个人安全防护用品的定期更新记录</w:t>
            </w:r>
            <w:r w:rsidR="00CA289F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68F4" w:rsidRDefault="008568F4" w:rsidP="002E2F3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568F4" w:rsidRPr="0010579E" w:rsidRDefault="008568F4" w:rsidP="008568F4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10579E">
        <w:rPr>
          <w:rFonts w:asciiTheme="minorEastAsia" w:hAnsiTheme="minorEastAsia" w:hint="eastAsia"/>
          <w:sz w:val="24"/>
          <w:szCs w:val="24"/>
        </w:rPr>
        <w:t>注：1.根据单位实际自查情况，在相应的</w:t>
      </w:r>
      <w:r>
        <w:rPr>
          <w:rFonts w:asciiTheme="minorEastAsia" w:hAnsiTheme="minorEastAsia" w:hint="eastAsia"/>
          <w:sz w:val="24"/>
          <w:szCs w:val="24"/>
        </w:rPr>
        <w:t>项目</w:t>
      </w:r>
      <w:r w:rsidRPr="0010579E">
        <w:rPr>
          <w:rFonts w:asciiTheme="minorEastAsia" w:hAnsiTheme="minorEastAsia" w:hint="eastAsia"/>
          <w:sz w:val="24"/>
          <w:szCs w:val="24"/>
        </w:rPr>
        <w:t>内打“√”。</w:t>
      </w:r>
    </w:p>
    <w:p w:rsidR="008568F4" w:rsidRDefault="008568F4" w:rsidP="008568F4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10579E">
        <w:rPr>
          <w:rFonts w:asciiTheme="minorEastAsia" w:hAnsiTheme="minorEastAsia" w:hint="eastAsia"/>
          <w:sz w:val="24"/>
          <w:szCs w:val="24"/>
        </w:rPr>
        <w:t>2.此表由</w:t>
      </w:r>
      <w:bookmarkStart w:id="4" w:name="_Hlk96260118"/>
      <w:r w:rsidRPr="0010579E">
        <w:rPr>
          <w:rFonts w:asciiTheme="minorEastAsia" w:hAnsiTheme="minorEastAsia" w:hint="eastAsia"/>
          <w:sz w:val="24"/>
          <w:szCs w:val="24"/>
        </w:rPr>
        <w:t>学院/部门依据自查情况填写，报实验室管理处（文科实训中心）留存。</w:t>
      </w:r>
      <w:bookmarkEnd w:id="4"/>
    </w:p>
    <w:p w:rsidR="008568F4" w:rsidRDefault="008568F4" w:rsidP="008568F4">
      <w:pPr>
        <w:spacing w:line="44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sectPr w:rsidR="008568F4" w:rsidSect="008568F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7E" w:rsidRDefault="005D267E" w:rsidP="00E53493">
      <w:r>
        <w:separator/>
      </w:r>
    </w:p>
  </w:endnote>
  <w:endnote w:type="continuationSeparator" w:id="0">
    <w:p w:rsidR="005D267E" w:rsidRDefault="005D267E" w:rsidP="00E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941715"/>
      <w:docPartObj>
        <w:docPartGallery w:val="Page Numbers (Bottom of Page)"/>
        <w:docPartUnique/>
      </w:docPartObj>
    </w:sdtPr>
    <w:sdtEndPr/>
    <w:sdtContent>
      <w:p w:rsidR="00E53493" w:rsidRDefault="00D87EBD">
        <w:pPr>
          <w:pStyle w:val="a5"/>
          <w:jc w:val="center"/>
        </w:pPr>
        <w:r>
          <w:fldChar w:fldCharType="begin"/>
        </w:r>
        <w:r w:rsidR="00E53493">
          <w:instrText>PAGE   \* MERGEFORMAT</w:instrText>
        </w:r>
        <w:r>
          <w:fldChar w:fldCharType="separate"/>
        </w:r>
        <w:r w:rsidR="005E38D7" w:rsidRPr="005E38D7">
          <w:rPr>
            <w:noProof/>
            <w:lang w:val="zh-CN"/>
          </w:rPr>
          <w:t>1</w:t>
        </w:r>
        <w:r>
          <w:fldChar w:fldCharType="end"/>
        </w:r>
      </w:p>
    </w:sdtContent>
  </w:sdt>
  <w:p w:rsidR="00E53493" w:rsidRDefault="00E53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7E" w:rsidRDefault="005D267E" w:rsidP="00E53493">
      <w:r>
        <w:separator/>
      </w:r>
    </w:p>
  </w:footnote>
  <w:footnote w:type="continuationSeparator" w:id="0">
    <w:p w:rsidR="005D267E" w:rsidRDefault="005D267E" w:rsidP="00E5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3F" w:rsidRDefault="006F3F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5E2"/>
    <w:rsid w:val="000312B1"/>
    <w:rsid w:val="00064375"/>
    <w:rsid w:val="00085519"/>
    <w:rsid w:val="000914FE"/>
    <w:rsid w:val="000C52C4"/>
    <w:rsid w:val="000F2F17"/>
    <w:rsid w:val="00104D76"/>
    <w:rsid w:val="00104FEF"/>
    <w:rsid w:val="00155A19"/>
    <w:rsid w:val="001A7627"/>
    <w:rsid w:val="001B357D"/>
    <w:rsid w:val="001F5243"/>
    <w:rsid w:val="00205A13"/>
    <w:rsid w:val="0021635D"/>
    <w:rsid w:val="002505F1"/>
    <w:rsid w:val="0027590D"/>
    <w:rsid w:val="002C0978"/>
    <w:rsid w:val="002D2D3F"/>
    <w:rsid w:val="002D40CE"/>
    <w:rsid w:val="003164B5"/>
    <w:rsid w:val="00331808"/>
    <w:rsid w:val="00353F49"/>
    <w:rsid w:val="003604D5"/>
    <w:rsid w:val="00390E0A"/>
    <w:rsid w:val="003C630A"/>
    <w:rsid w:val="003E4382"/>
    <w:rsid w:val="003F2220"/>
    <w:rsid w:val="00431009"/>
    <w:rsid w:val="00446054"/>
    <w:rsid w:val="004777AF"/>
    <w:rsid w:val="004B688D"/>
    <w:rsid w:val="004F7EBD"/>
    <w:rsid w:val="005024B5"/>
    <w:rsid w:val="00502A26"/>
    <w:rsid w:val="00505FE3"/>
    <w:rsid w:val="00525D16"/>
    <w:rsid w:val="00525D6E"/>
    <w:rsid w:val="00547947"/>
    <w:rsid w:val="005535B7"/>
    <w:rsid w:val="0056459B"/>
    <w:rsid w:val="005A061C"/>
    <w:rsid w:val="005B1BFB"/>
    <w:rsid w:val="005D267E"/>
    <w:rsid w:val="005D50DC"/>
    <w:rsid w:val="005D51FB"/>
    <w:rsid w:val="005E38D7"/>
    <w:rsid w:val="005E5AC5"/>
    <w:rsid w:val="00604C0F"/>
    <w:rsid w:val="006730E7"/>
    <w:rsid w:val="006E6C4E"/>
    <w:rsid w:val="006F3F3F"/>
    <w:rsid w:val="00705B2B"/>
    <w:rsid w:val="0070733B"/>
    <w:rsid w:val="007321E1"/>
    <w:rsid w:val="00751ECC"/>
    <w:rsid w:val="00752615"/>
    <w:rsid w:val="00770C95"/>
    <w:rsid w:val="00780FCD"/>
    <w:rsid w:val="007975E2"/>
    <w:rsid w:val="007D3BB5"/>
    <w:rsid w:val="007E09D2"/>
    <w:rsid w:val="008040FC"/>
    <w:rsid w:val="00806E4F"/>
    <w:rsid w:val="008271E2"/>
    <w:rsid w:val="008568F4"/>
    <w:rsid w:val="0088120A"/>
    <w:rsid w:val="008826E0"/>
    <w:rsid w:val="00896D03"/>
    <w:rsid w:val="008A00DD"/>
    <w:rsid w:val="008A6B52"/>
    <w:rsid w:val="008C3B09"/>
    <w:rsid w:val="008F1132"/>
    <w:rsid w:val="00911601"/>
    <w:rsid w:val="00951E16"/>
    <w:rsid w:val="009901CE"/>
    <w:rsid w:val="0099272E"/>
    <w:rsid w:val="009B7BCE"/>
    <w:rsid w:val="009F57DC"/>
    <w:rsid w:val="009F5F33"/>
    <w:rsid w:val="00A31FEB"/>
    <w:rsid w:val="00A33A75"/>
    <w:rsid w:val="00AD45AE"/>
    <w:rsid w:val="00AD52A8"/>
    <w:rsid w:val="00AE02FC"/>
    <w:rsid w:val="00AE4266"/>
    <w:rsid w:val="00B250B3"/>
    <w:rsid w:val="00B2586E"/>
    <w:rsid w:val="00B26E6A"/>
    <w:rsid w:val="00B3490D"/>
    <w:rsid w:val="00B51697"/>
    <w:rsid w:val="00BA790E"/>
    <w:rsid w:val="00BE7EEB"/>
    <w:rsid w:val="00BF55FC"/>
    <w:rsid w:val="00BF5701"/>
    <w:rsid w:val="00C33AA6"/>
    <w:rsid w:val="00C56422"/>
    <w:rsid w:val="00C85128"/>
    <w:rsid w:val="00C92C2B"/>
    <w:rsid w:val="00C97067"/>
    <w:rsid w:val="00CA289F"/>
    <w:rsid w:val="00CA3EB9"/>
    <w:rsid w:val="00CF1165"/>
    <w:rsid w:val="00D25F93"/>
    <w:rsid w:val="00D36184"/>
    <w:rsid w:val="00D87EBD"/>
    <w:rsid w:val="00D90E47"/>
    <w:rsid w:val="00D90EFB"/>
    <w:rsid w:val="00DD3411"/>
    <w:rsid w:val="00E251FC"/>
    <w:rsid w:val="00E53105"/>
    <w:rsid w:val="00E53493"/>
    <w:rsid w:val="00E55980"/>
    <w:rsid w:val="00E67F1F"/>
    <w:rsid w:val="00E719DE"/>
    <w:rsid w:val="00E96171"/>
    <w:rsid w:val="00EA0CC1"/>
    <w:rsid w:val="00F21296"/>
    <w:rsid w:val="00F3208A"/>
    <w:rsid w:val="00FC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E882B-0986-4EC2-A2DB-42BB1020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896D03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896D03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6D03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E5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493"/>
    <w:rPr>
      <w:sz w:val="18"/>
      <w:szCs w:val="18"/>
    </w:rPr>
  </w:style>
  <w:style w:type="character" w:styleId="a7">
    <w:name w:val="Hyperlink"/>
    <w:basedOn w:val="a0"/>
    <w:uiPriority w:val="99"/>
    <w:unhideWhenUsed/>
    <w:rsid w:val="00951E1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16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01"/>
    <w:rPr>
      <w:sz w:val="18"/>
      <w:szCs w:val="18"/>
    </w:rPr>
  </w:style>
  <w:style w:type="character" w:styleId="aa">
    <w:name w:val="Strong"/>
    <w:basedOn w:val="a0"/>
    <w:uiPriority w:val="22"/>
    <w:qFormat/>
    <w:rsid w:val="006730E7"/>
    <w:rPr>
      <w:b/>
      <w:bCs/>
    </w:rPr>
  </w:style>
  <w:style w:type="table" w:styleId="ab">
    <w:name w:val="Table Grid"/>
    <w:basedOn w:val="a1"/>
    <w:qFormat/>
    <w:rsid w:val="00CA3EB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F1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568F4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8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HP</cp:lastModifiedBy>
  <cp:revision>33</cp:revision>
  <cp:lastPrinted>2020-07-06T07:27:00Z</cp:lastPrinted>
  <dcterms:created xsi:type="dcterms:W3CDTF">2021-04-26T06:57:00Z</dcterms:created>
  <dcterms:modified xsi:type="dcterms:W3CDTF">2024-02-24T02:49:00Z</dcterms:modified>
</cp:coreProperties>
</file>